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5CE325" w14:textId="77777777" w:rsidR="001250B9" w:rsidRPr="001250B9" w:rsidRDefault="001250B9" w:rsidP="001250B9">
      <w:pPr>
        <w:rPr>
          <w:rFonts w:asciiTheme="majorHAnsi" w:hAnsiTheme="majorHAnsi"/>
          <w:b/>
          <w:sz w:val="22"/>
          <w:szCs w:val="22"/>
        </w:rPr>
      </w:pPr>
      <w:r w:rsidRPr="001250B9">
        <w:rPr>
          <w:rFonts w:asciiTheme="majorHAnsi" w:hAnsiTheme="majorHAnsi"/>
          <w:b/>
          <w:sz w:val="22"/>
          <w:szCs w:val="22"/>
        </w:rPr>
        <w:t>Empathische Immunität</w:t>
      </w:r>
    </w:p>
    <w:p w14:paraId="3682F921" w14:textId="77777777" w:rsidR="001250B9" w:rsidRPr="001250B9" w:rsidRDefault="001250B9" w:rsidP="001250B9">
      <w:pPr>
        <w:rPr>
          <w:rFonts w:asciiTheme="majorHAnsi" w:hAnsiTheme="majorHAnsi"/>
          <w:b/>
          <w:sz w:val="22"/>
          <w:szCs w:val="22"/>
        </w:rPr>
      </w:pPr>
      <w:r w:rsidRPr="001250B9">
        <w:rPr>
          <w:rFonts w:asciiTheme="majorHAnsi" w:hAnsiTheme="majorHAnsi"/>
          <w:b/>
          <w:sz w:val="22"/>
          <w:szCs w:val="22"/>
        </w:rPr>
        <w:t>Der Körperbezug in der professionellen Pflege</w:t>
      </w:r>
    </w:p>
    <w:p w14:paraId="599C3609" w14:textId="77777777" w:rsidR="001250B9" w:rsidRPr="001250B9" w:rsidRDefault="001250B9" w:rsidP="001250B9">
      <w:pPr>
        <w:rPr>
          <w:rFonts w:asciiTheme="majorHAnsi" w:hAnsiTheme="majorHAnsi"/>
          <w:sz w:val="22"/>
          <w:szCs w:val="22"/>
        </w:rPr>
      </w:pPr>
    </w:p>
    <w:p w14:paraId="58D1E94F" w14:textId="77777777" w:rsidR="001250B9" w:rsidRPr="001250B9" w:rsidRDefault="001250B9" w:rsidP="001250B9">
      <w:pPr>
        <w:rPr>
          <w:rFonts w:asciiTheme="majorHAnsi" w:hAnsiTheme="majorHAnsi"/>
          <w:sz w:val="22"/>
          <w:szCs w:val="22"/>
        </w:rPr>
      </w:pPr>
      <w:r w:rsidRPr="001250B9">
        <w:rPr>
          <w:rFonts w:asciiTheme="majorHAnsi" w:hAnsiTheme="majorHAnsi"/>
          <w:sz w:val="22"/>
          <w:szCs w:val="22"/>
        </w:rPr>
        <w:t xml:space="preserve">Das berufliche Selbstverständnis von Pflegepersonen hat sich in den letzten 20 Jahren gewandelt. Von einer aufopfernd-dienenden Haltung, mit dem Auftrag, den/die </w:t>
      </w:r>
      <w:proofErr w:type="spellStart"/>
      <w:r w:rsidRPr="001250B9">
        <w:rPr>
          <w:rFonts w:asciiTheme="majorHAnsi" w:hAnsiTheme="majorHAnsi"/>
          <w:sz w:val="22"/>
          <w:szCs w:val="22"/>
        </w:rPr>
        <w:t>PatientIn</w:t>
      </w:r>
      <w:proofErr w:type="spellEnd"/>
      <w:r w:rsidRPr="001250B9">
        <w:rPr>
          <w:rFonts w:asciiTheme="majorHAnsi" w:hAnsiTheme="majorHAnsi"/>
          <w:sz w:val="22"/>
          <w:szCs w:val="22"/>
        </w:rPr>
        <w:t xml:space="preserve"> „warm, satt und sauber“ zu halten, geht es mehr und mehr um eine wechselseitig validierende Beziehungsgestaltung auf Augenhöhe. Damit rückt ein „Akteur“ ins Blickfeld</w:t>
      </w:r>
      <w:proofErr w:type="gramStart"/>
      <w:r w:rsidRPr="001250B9">
        <w:rPr>
          <w:rFonts w:asciiTheme="majorHAnsi" w:hAnsiTheme="majorHAnsi"/>
          <w:sz w:val="22"/>
          <w:szCs w:val="22"/>
        </w:rPr>
        <w:t>, der</w:t>
      </w:r>
      <w:proofErr w:type="gramEnd"/>
      <w:r w:rsidRPr="001250B9">
        <w:rPr>
          <w:rFonts w:asciiTheme="majorHAnsi" w:hAnsiTheme="majorHAnsi"/>
          <w:sz w:val="22"/>
          <w:szCs w:val="22"/>
        </w:rPr>
        <w:t xml:space="preserve"> bis jetzt ausschließlich Objekt der Pflegemaßnahmen war (für die psychiatrische Pflege gilt diese Behauptung nicht!): Der menschliche Körper. </w:t>
      </w:r>
    </w:p>
    <w:p w14:paraId="07F06713" w14:textId="77777777" w:rsidR="001250B9" w:rsidRPr="001250B9" w:rsidRDefault="001250B9" w:rsidP="001250B9">
      <w:pPr>
        <w:rPr>
          <w:rFonts w:asciiTheme="majorHAnsi" w:hAnsiTheme="majorHAnsi"/>
          <w:sz w:val="22"/>
          <w:szCs w:val="22"/>
        </w:rPr>
      </w:pPr>
    </w:p>
    <w:p w14:paraId="2CAF028B" w14:textId="77777777" w:rsidR="001250B9" w:rsidRPr="001250B9" w:rsidRDefault="001250B9" w:rsidP="001250B9">
      <w:pPr>
        <w:rPr>
          <w:rFonts w:asciiTheme="majorHAnsi" w:hAnsiTheme="majorHAnsi"/>
          <w:sz w:val="22"/>
          <w:szCs w:val="22"/>
        </w:rPr>
      </w:pPr>
      <w:r w:rsidRPr="001250B9">
        <w:rPr>
          <w:rFonts w:asciiTheme="majorHAnsi" w:hAnsiTheme="majorHAnsi"/>
          <w:sz w:val="22"/>
          <w:szCs w:val="22"/>
        </w:rPr>
        <w:t>Spätestens seit der Entdeckung der Spiegelneuronen Mitte der 90-er Jahre (</w:t>
      </w:r>
      <w:proofErr w:type="spellStart"/>
      <w:r w:rsidRPr="001250B9">
        <w:rPr>
          <w:rFonts w:asciiTheme="majorHAnsi" w:hAnsiTheme="majorHAnsi"/>
          <w:sz w:val="22"/>
          <w:szCs w:val="22"/>
        </w:rPr>
        <w:t>Rizzolatti</w:t>
      </w:r>
      <w:proofErr w:type="spellEnd"/>
      <w:r w:rsidRPr="001250B9">
        <w:rPr>
          <w:rFonts w:asciiTheme="majorHAnsi" w:hAnsiTheme="majorHAnsi"/>
          <w:sz w:val="22"/>
          <w:szCs w:val="22"/>
        </w:rPr>
        <w:t xml:space="preserve"> et al., 1996) weiß man, dass leibliche Kommunikation immer schon vor-bewusst und vor-sprachlich stattfindet. Die Handlungen unseres Gegenübers bilden sich in unserem Gehirn ab, wir fühlen, was der Andere fühlt und es gibt starke Indizien dafür, dass wir auch das körperliche Wohl- oder Unwohlsein anderer „am eigenen Leib“ spüren.</w:t>
      </w:r>
    </w:p>
    <w:p w14:paraId="510162A4" w14:textId="77777777" w:rsidR="001250B9" w:rsidRPr="001250B9" w:rsidRDefault="001250B9" w:rsidP="001250B9">
      <w:pPr>
        <w:rPr>
          <w:rFonts w:asciiTheme="majorHAnsi" w:hAnsiTheme="majorHAnsi"/>
          <w:sz w:val="22"/>
          <w:szCs w:val="22"/>
        </w:rPr>
      </w:pPr>
    </w:p>
    <w:p w14:paraId="3D3206BE" w14:textId="77777777" w:rsidR="001250B9" w:rsidRPr="001250B9" w:rsidRDefault="001250B9" w:rsidP="001250B9">
      <w:pPr>
        <w:rPr>
          <w:rFonts w:asciiTheme="majorHAnsi" w:hAnsiTheme="majorHAnsi"/>
          <w:sz w:val="22"/>
          <w:szCs w:val="22"/>
        </w:rPr>
      </w:pPr>
      <w:r w:rsidRPr="001250B9">
        <w:rPr>
          <w:rFonts w:asciiTheme="majorHAnsi" w:hAnsiTheme="majorHAnsi"/>
          <w:sz w:val="22"/>
          <w:szCs w:val="22"/>
        </w:rPr>
        <w:t xml:space="preserve">Aus der Sicht der Pflegepersonen eröffnet sich damit ein enorm weites Feld der non-verbalen Beziehungsgestaltung. Ist es möglich, einem/r verzweifelten </w:t>
      </w:r>
      <w:proofErr w:type="spellStart"/>
      <w:r w:rsidRPr="001250B9">
        <w:rPr>
          <w:rFonts w:asciiTheme="majorHAnsi" w:hAnsiTheme="majorHAnsi"/>
          <w:sz w:val="22"/>
          <w:szCs w:val="22"/>
        </w:rPr>
        <w:t>PatientIn</w:t>
      </w:r>
      <w:proofErr w:type="spellEnd"/>
      <w:r w:rsidRPr="001250B9">
        <w:rPr>
          <w:rFonts w:asciiTheme="majorHAnsi" w:hAnsiTheme="majorHAnsi"/>
          <w:sz w:val="22"/>
          <w:szCs w:val="22"/>
        </w:rPr>
        <w:t xml:space="preserve"> emotionalen Halt, einem/r desorientierten Demenzerkrankten Orientierung allein durch meine eigenleibliche Ausrichtung zu geben? Erfahrene Pflegepersonen beantworten diese Frage mit Ja, doch gibt es dafür eine wichtige Voraussetzung: Eine wache Selbstwahrnehmung und eine Regulation der eigenen empathischen Wahrnehmungen, die ich </w:t>
      </w:r>
      <w:r w:rsidRPr="001250B9">
        <w:rPr>
          <w:rFonts w:asciiTheme="majorHAnsi" w:hAnsiTheme="majorHAnsi"/>
          <w:i/>
          <w:sz w:val="22"/>
          <w:szCs w:val="22"/>
        </w:rPr>
        <w:t>Empathische Immunität</w:t>
      </w:r>
      <w:r w:rsidRPr="001250B9">
        <w:rPr>
          <w:rFonts w:asciiTheme="majorHAnsi" w:hAnsiTheme="majorHAnsi"/>
          <w:sz w:val="22"/>
          <w:szCs w:val="22"/>
        </w:rPr>
        <w:t xml:space="preserve"> nenne.</w:t>
      </w:r>
    </w:p>
    <w:p w14:paraId="433986B5" w14:textId="77777777" w:rsidR="001250B9" w:rsidRPr="001250B9" w:rsidRDefault="001250B9" w:rsidP="001250B9">
      <w:pPr>
        <w:rPr>
          <w:rFonts w:asciiTheme="majorHAnsi" w:hAnsiTheme="majorHAnsi"/>
          <w:sz w:val="22"/>
          <w:szCs w:val="22"/>
        </w:rPr>
      </w:pPr>
    </w:p>
    <w:p w14:paraId="10F1A5DF" w14:textId="77777777" w:rsidR="001250B9" w:rsidRPr="001250B9" w:rsidRDefault="001250B9" w:rsidP="001250B9">
      <w:pPr>
        <w:rPr>
          <w:rFonts w:asciiTheme="majorHAnsi" w:hAnsiTheme="majorHAnsi"/>
          <w:sz w:val="22"/>
          <w:szCs w:val="22"/>
        </w:rPr>
      </w:pPr>
      <w:r w:rsidRPr="001250B9">
        <w:rPr>
          <w:rFonts w:asciiTheme="majorHAnsi" w:hAnsiTheme="majorHAnsi"/>
          <w:sz w:val="22"/>
          <w:szCs w:val="22"/>
        </w:rPr>
        <w:t xml:space="preserve">Eine wesentliche Voraussetzung für die Leistungsfähigkeit unseres Immunsystems ist die Fähigkeit, zwischen </w:t>
      </w:r>
      <w:r w:rsidRPr="001250B9">
        <w:rPr>
          <w:rFonts w:asciiTheme="majorHAnsi" w:hAnsiTheme="majorHAnsi"/>
          <w:i/>
          <w:sz w:val="22"/>
          <w:szCs w:val="22"/>
        </w:rPr>
        <w:t>eigen</w:t>
      </w:r>
      <w:r w:rsidRPr="001250B9">
        <w:rPr>
          <w:rFonts w:asciiTheme="majorHAnsi" w:hAnsiTheme="majorHAnsi"/>
          <w:sz w:val="22"/>
          <w:szCs w:val="22"/>
        </w:rPr>
        <w:t xml:space="preserve"> und </w:t>
      </w:r>
      <w:r w:rsidRPr="001250B9">
        <w:rPr>
          <w:rFonts w:asciiTheme="majorHAnsi" w:hAnsiTheme="majorHAnsi"/>
          <w:i/>
          <w:sz w:val="22"/>
          <w:szCs w:val="22"/>
        </w:rPr>
        <w:t>fremd</w:t>
      </w:r>
      <w:r w:rsidRPr="001250B9">
        <w:rPr>
          <w:rFonts w:asciiTheme="majorHAnsi" w:hAnsiTheme="majorHAnsi"/>
          <w:sz w:val="22"/>
          <w:szCs w:val="22"/>
        </w:rPr>
        <w:t xml:space="preserve"> zu unterscheiden. Geht diese Fähigkeit verloren (z.B. bei Autoimmunerkrankungen), wenden sich die Abwehrkräfte gegen den eigenen Körper. Ähnlich verhält es sich mit unserer </w:t>
      </w:r>
      <w:proofErr w:type="spellStart"/>
      <w:r w:rsidRPr="001250B9">
        <w:rPr>
          <w:rFonts w:asciiTheme="majorHAnsi" w:hAnsiTheme="majorHAnsi"/>
          <w:sz w:val="22"/>
          <w:szCs w:val="22"/>
        </w:rPr>
        <w:t>Empathiefähigkeit</w:t>
      </w:r>
      <w:proofErr w:type="spellEnd"/>
      <w:r w:rsidRPr="001250B9">
        <w:rPr>
          <w:rFonts w:asciiTheme="majorHAnsi" w:hAnsiTheme="majorHAnsi"/>
          <w:sz w:val="22"/>
          <w:szCs w:val="22"/>
        </w:rPr>
        <w:t>, deren ursprünglicher Sinn es war (und ist), das Verhalten anderer einschätzen und voraussagen zu können. Wollen Pflegende ihre Leistungsfähigkeit UND ihre Gesundheit im teilweise hochemotionalen Pflegekontext erhalten</w:t>
      </w:r>
      <w:proofErr w:type="gramStart"/>
      <w:r w:rsidRPr="001250B9">
        <w:rPr>
          <w:rFonts w:asciiTheme="majorHAnsi" w:hAnsiTheme="majorHAnsi"/>
          <w:sz w:val="22"/>
          <w:szCs w:val="22"/>
        </w:rPr>
        <w:t>, ist</w:t>
      </w:r>
      <w:proofErr w:type="gramEnd"/>
      <w:r w:rsidRPr="001250B9">
        <w:rPr>
          <w:rFonts w:asciiTheme="majorHAnsi" w:hAnsiTheme="majorHAnsi"/>
          <w:sz w:val="22"/>
          <w:szCs w:val="22"/>
        </w:rPr>
        <w:t xml:space="preserve"> eine klare Unterscheidung von eigenen und fremden Befindlichkeiten notwendig.</w:t>
      </w:r>
    </w:p>
    <w:p w14:paraId="217526DE" w14:textId="77777777" w:rsidR="001250B9" w:rsidRPr="001250B9" w:rsidRDefault="001250B9" w:rsidP="001250B9">
      <w:pPr>
        <w:rPr>
          <w:rFonts w:asciiTheme="majorHAnsi" w:hAnsiTheme="majorHAnsi"/>
          <w:sz w:val="22"/>
          <w:szCs w:val="22"/>
        </w:rPr>
      </w:pPr>
    </w:p>
    <w:p w14:paraId="2660D7BC" w14:textId="77777777" w:rsidR="001250B9" w:rsidRPr="001250B9" w:rsidRDefault="001250B9" w:rsidP="001250B9">
      <w:pPr>
        <w:rPr>
          <w:rFonts w:asciiTheme="majorHAnsi" w:hAnsiTheme="majorHAnsi"/>
          <w:sz w:val="22"/>
          <w:szCs w:val="22"/>
        </w:rPr>
      </w:pPr>
      <w:r w:rsidRPr="001250B9">
        <w:rPr>
          <w:rFonts w:asciiTheme="majorHAnsi" w:hAnsiTheme="majorHAnsi"/>
          <w:sz w:val="22"/>
          <w:szCs w:val="22"/>
        </w:rPr>
        <w:t xml:space="preserve">Um das zu gewährleisten, reagieren Pflegende oft mit einem Verhalten, das sich mittelfristig als Bumerang erweist: Sie grenzen sich ab und lassen die Äußerungen der zu Pflegenden nicht mehr an sich heran, eine Strategie, die der </w:t>
      </w:r>
      <w:proofErr w:type="spellStart"/>
      <w:r w:rsidRPr="001250B9">
        <w:rPr>
          <w:rFonts w:asciiTheme="majorHAnsi" w:hAnsiTheme="majorHAnsi"/>
          <w:sz w:val="22"/>
          <w:szCs w:val="22"/>
        </w:rPr>
        <w:t>Empathieforscher</w:t>
      </w:r>
      <w:proofErr w:type="spellEnd"/>
      <w:r w:rsidRPr="001250B9">
        <w:rPr>
          <w:rFonts w:asciiTheme="majorHAnsi" w:hAnsiTheme="majorHAnsi"/>
          <w:sz w:val="22"/>
          <w:szCs w:val="22"/>
        </w:rPr>
        <w:t xml:space="preserve"> Tobias Altmann den </w:t>
      </w:r>
      <w:r w:rsidRPr="001250B9">
        <w:rPr>
          <w:rFonts w:asciiTheme="majorHAnsi" w:hAnsiTheme="majorHAnsi"/>
          <w:i/>
          <w:sz w:val="22"/>
          <w:szCs w:val="22"/>
        </w:rPr>
        <w:t>Empathischen Kurzschluss</w:t>
      </w:r>
      <w:r w:rsidRPr="001250B9">
        <w:rPr>
          <w:rFonts w:asciiTheme="majorHAnsi" w:hAnsiTheme="majorHAnsi"/>
          <w:sz w:val="22"/>
          <w:szCs w:val="22"/>
        </w:rPr>
        <w:t xml:space="preserve"> nennt (Altmann, 2015). Der Preis, den sie langfristig dafür bezahlen, ist hoch. Bei der Antwort auf die Frage, warum das so ist, hilft uns die Forschung zum Thema Resonanz</w:t>
      </w:r>
      <w:proofErr w:type="gramStart"/>
      <w:r w:rsidRPr="001250B9">
        <w:rPr>
          <w:rFonts w:asciiTheme="majorHAnsi" w:hAnsiTheme="majorHAnsi"/>
          <w:sz w:val="22"/>
          <w:szCs w:val="22"/>
        </w:rPr>
        <w:t>: Eine</w:t>
      </w:r>
      <w:proofErr w:type="gramEnd"/>
      <w:r w:rsidRPr="001250B9">
        <w:rPr>
          <w:rFonts w:asciiTheme="majorHAnsi" w:hAnsiTheme="majorHAnsi"/>
          <w:sz w:val="22"/>
          <w:szCs w:val="22"/>
        </w:rPr>
        <w:t xml:space="preserve"> schwingende, lebendige Resonanzbeziehung entsteht dann, wenn zwei Resonanzpartner voneinander berührbar und erreichbar sind UND gleichzeitig eigenständig sind und „mit eigener Stimme sprechen“ (Rosa, 2016). </w:t>
      </w:r>
    </w:p>
    <w:p w14:paraId="6C410CE7" w14:textId="77777777" w:rsidR="001250B9" w:rsidRPr="001250B9" w:rsidRDefault="001250B9" w:rsidP="001250B9">
      <w:pPr>
        <w:rPr>
          <w:rFonts w:asciiTheme="majorHAnsi" w:hAnsiTheme="majorHAnsi"/>
          <w:sz w:val="22"/>
          <w:szCs w:val="22"/>
        </w:rPr>
      </w:pPr>
    </w:p>
    <w:p w14:paraId="1698F04F" w14:textId="77777777" w:rsidR="001250B9" w:rsidRPr="001250B9" w:rsidRDefault="001250B9" w:rsidP="001250B9">
      <w:pPr>
        <w:rPr>
          <w:rFonts w:asciiTheme="majorHAnsi" w:hAnsiTheme="majorHAnsi"/>
          <w:sz w:val="22"/>
          <w:szCs w:val="22"/>
        </w:rPr>
      </w:pPr>
      <w:r w:rsidRPr="001250B9">
        <w:rPr>
          <w:rFonts w:asciiTheme="majorHAnsi" w:hAnsiTheme="majorHAnsi"/>
          <w:sz w:val="22"/>
          <w:szCs w:val="22"/>
        </w:rPr>
        <w:t>Kommen diese Resonanzbeziehungen abhanden, werden wir uns selber und wird uns unsere Umgebung nach und nach fremd. Zum Thema Entfremdung und ihre potentiellen gesundheitsschädigenden Folgen schreibt der Soziologe Hartmut Rosa</w:t>
      </w:r>
      <w:proofErr w:type="gramStart"/>
      <w:r w:rsidRPr="001250B9">
        <w:rPr>
          <w:rFonts w:asciiTheme="majorHAnsi" w:hAnsiTheme="majorHAnsi"/>
          <w:sz w:val="22"/>
          <w:szCs w:val="22"/>
        </w:rPr>
        <w:t xml:space="preserve">: </w:t>
      </w:r>
      <w:r w:rsidRPr="001250B9">
        <w:rPr>
          <w:rFonts w:asciiTheme="majorHAnsi" w:hAnsiTheme="majorHAnsi"/>
          <w:i/>
          <w:sz w:val="22"/>
          <w:szCs w:val="22"/>
        </w:rPr>
        <w:t>Depression</w:t>
      </w:r>
      <w:proofErr w:type="gramEnd"/>
      <w:r w:rsidRPr="001250B9">
        <w:rPr>
          <w:rFonts w:asciiTheme="majorHAnsi" w:hAnsiTheme="majorHAnsi"/>
          <w:i/>
          <w:sz w:val="22"/>
          <w:szCs w:val="22"/>
        </w:rPr>
        <w:t xml:space="preserve"> / Burnout heißt der Zustand, in dem alle Resonanzachsen stumm und taub geworden sind. Man &gt;hat&lt;  beispielsweise Familie, Arbeit, Verein, Religion etc., aber sie &gt;sagen&lt; einem nichts: Es findet keine Berührung mehr statt, das Subjekt wird nicht mehr affiziert und erfährt keine Selbstwirksamkeit. Welt und Subjekt erscheinen daher gleichermaßen als bleich, tot und leer </w:t>
      </w:r>
      <w:r w:rsidRPr="001250B9">
        <w:rPr>
          <w:rFonts w:asciiTheme="majorHAnsi" w:hAnsiTheme="majorHAnsi"/>
          <w:sz w:val="22"/>
          <w:szCs w:val="22"/>
        </w:rPr>
        <w:t>(Rosa, 2016).</w:t>
      </w:r>
    </w:p>
    <w:p w14:paraId="0447B9E1" w14:textId="77777777" w:rsidR="001250B9" w:rsidRPr="001250B9" w:rsidRDefault="001250B9" w:rsidP="001250B9">
      <w:pPr>
        <w:rPr>
          <w:rFonts w:asciiTheme="majorHAnsi" w:hAnsiTheme="majorHAnsi"/>
          <w:sz w:val="22"/>
          <w:szCs w:val="22"/>
        </w:rPr>
      </w:pPr>
    </w:p>
    <w:p w14:paraId="6AFBBFA2" w14:textId="36124BA5" w:rsidR="00D3264B" w:rsidRPr="001250B9" w:rsidRDefault="001250B9" w:rsidP="001250B9">
      <w:pPr>
        <w:rPr>
          <w:rFonts w:asciiTheme="majorHAnsi" w:hAnsiTheme="majorHAnsi"/>
          <w:sz w:val="22"/>
          <w:szCs w:val="22"/>
        </w:rPr>
      </w:pPr>
      <w:r w:rsidRPr="001250B9">
        <w:rPr>
          <w:rFonts w:asciiTheme="majorHAnsi" w:hAnsiTheme="majorHAnsi"/>
          <w:sz w:val="22"/>
          <w:szCs w:val="22"/>
        </w:rPr>
        <w:t xml:space="preserve">Was ist also zu tun? Es erscheint als unerlässlich, dass bereits in der Grundausbildung von Pflegepersonen, spätestens aber als Nachschulung, leiborientierte </w:t>
      </w:r>
      <w:proofErr w:type="spellStart"/>
      <w:r w:rsidRPr="001250B9">
        <w:rPr>
          <w:rFonts w:asciiTheme="majorHAnsi" w:hAnsiTheme="majorHAnsi"/>
          <w:sz w:val="22"/>
          <w:szCs w:val="22"/>
        </w:rPr>
        <w:t>Empathietrainings</w:t>
      </w:r>
      <w:proofErr w:type="spellEnd"/>
      <w:r w:rsidRPr="001250B9">
        <w:rPr>
          <w:rFonts w:asciiTheme="majorHAnsi" w:hAnsiTheme="majorHAnsi"/>
          <w:sz w:val="22"/>
          <w:szCs w:val="22"/>
        </w:rPr>
        <w:t xml:space="preserve"> durchgeführt werden. Diese sollten über die interpersonellen Dynamiken aber auch und vor allem über den Aspekt der Selbstfürsorge informieren. Es geht also nicht um MEHR Empathie in der Pflegebeziehung sondern </w:t>
      </w:r>
      <w:r w:rsidRPr="001250B9">
        <w:rPr>
          <w:rFonts w:asciiTheme="majorHAnsi" w:hAnsiTheme="majorHAnsi"/>
          <w:i/>
          <w:sz w:val="22"/>
          <w:szCs w:val="22"/>
        </w:rPr>
        <w:t>um den reflektierten Umgang mit der vorhandenen Empathie</w:t>
      </w:r>
      <w:r w:rsidRPr="001250B9">
        <w:rPr>
          <w:rFonts w:asciiTheme="majorHAnsi" w:hAnsiTheme="majorHAnsi"/>
          <w:sz w:val="22"/>
          <w:szCs w:val="22"/>
        </w:rPr>
        <w:t xml:space="preserve"> (Altmann, 2015).</w:t>
      </w:r>
      <w:bookmarkStart w:id="0" w:name="_GoBack"/>
      <w:bookmarkEnd w:id="0"/>
    </w:p>
    <w:sectPr w:rsidR="00D3264B" w:rsidRPr="001250B9" w:rsidSect="003C6DDE">
      <w:headerReference w:type="default" r:id="rId7"/>
      <w:footerReference w:type="default" r:id="rId8"/>
      <w:pgSz w:w="11906" w:h="16838"/>
      <w:pgMar w:top="1671" w:right="1417" w:bottom="1134" w:left="1417" w:header="142" w:footer="6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72BCC0" w14:textId="77777777" w:rsidR="002C2964" w:rsidRDefault="002C2964" w:rsidP="00CC5420">
      <w:r>
        <w:separator/>
      </w:r>
    </w:p>
  </w:endnote>
  <w:endnote w:type="continuationSeparator" w:id="0">
    <w:p w14:paraId="20AB5F65" w14:textId="77777777" w:rsidR="002C2964" w:rsidRDefault="002C2964" w:rsidP="00CC5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2992C" w14:textId="0729A5F9" w:rsidR="002C2964" w:rsidRPr="00886D40" w:rsidRDefault="002C2964" w:rsidP="003C6DDE">
    <w:pPr>
      <w:pStyle w:val="Fuzeile"/>
      <w:tabs>
        <w:tab w:val="clear" w:pos="4536"/>
        <w:tab w:val="clear" w:pos="9072"/>
        <w:tab w:val="left" w:pos="5088"/>
      </w:tabs>
      <w:rPr>
        <w:sz w:val="18"/>
        <w:szCs w:val="18"/>
      </w:rPr>
    </w:pPr>
    <w:r w:rsidRPr="00886D40">
      <w:rPr>
        <w:sz w:val="18"/>
        <w:szCs w:val="18"/>
      </w:rPr>
      <w:t xml:space="preserve">© Anton </w:t>
    </w:r>
    <w:proofErr w:type="spellStart"/>
    <w:r w:rsidRPr="00886D40">
      <w:rPr>
        <w:sz w:val="18"/>
        <w:szCs w:val="18"/>
      </w:rPr>
      <w:t>Stejs</w:t>
    </w:r>
    <w:r w:rsidR="001250B9">
      <w:rPr>
        <w:sz w:val="18"/>
        <w:szCs w:val="18"/>
      </w:rPr>
      <w:t>kal</w:t>
    </w:r>
    <w:proofErr w:type="spellEnd"/>
    <w:r w:rsidR="001250B9">
      <w:rPr>
        <w:sz w:val="18"/>
        <w:szCs w:val="18"/>
      </w:rPr>
      <w:t xml:space="preserve"> 2017, „Empathische Immunität</w:t>
    </w:r>
    <w:r w:rsidRPr="00886D40">
      <w:rPr>
        <w:sz w:val="18"/>
        <w:szCs w:val="18"/>
      </w:rPr>
      <w:t>“</w:t>
    </w:r>
    <w:r w:rsidR="003C6DDE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F341F" w14:textId="77777777" w:rsidR="002C2964" w:rsidRDefault="002C2964" w:rsidP="00CC5420">
      <w:r>
        <w:separator/>
      </w:r>
    </w:p>
  </w:footnote>
  <w:footnote w:type="continuationSeparator" w:id="0">
    <w:p w14:paraId="29D67248" w14:textId="77777777" w:rsidR="002C2964" w:rsidRDefault="002C2964" w:rsidP="00CC54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5B194" w14:textId="6DAC5676" w:rsidR="002C2964" w:rsidRPr="00886D40" w:rsidRDefault="002C2964" w:rsidP="00CC5420">
    <w:pPr>
      <w:pStyle w:val="Kopfzeile"/>
      <w:jc w:val="center"/>
      <w:rPr>
        <w:sz w:val="18"/>
        <w:szCs w:val="18"/>
      </w:rPr>
    </w:pPr>
    <w:r>
      <w:rPr>
        <w:noProof/>
        <w:sz w:val="18"/>
        <w:szCs w:val="18"/>
        <w:lang w:eastAsia="de-DE"/>
      </w:rPr>
      <w:drawing>
        <wp:inline distT="0" distB="0" distL="0" distR="0" wp14:anchorId="077DD938" wp14:editId="0202DFA3">
          <wp:extent cx="2520696" cy="914400"/>
          <wp:effectExtent l="0" t="0" r="0" b="0"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kopf-kle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9B"/>
    <w:rsid w:val="00082208"/>
    <w:rsid w:val="001117EF"/>
    <w:rsid w:val="001250B9"/>
    <w:rsid w:val="001B7056"/>
    <w:rsid w:val="00277BF2"/>
    <w:rsid w:val="00281CDA"/>
    <w:rsid w:val="002C2964"/>
    <w:rsid w:val="00381CB1"/>
    <w:rsid w:val="003A1EE7"/>
    <w:rsid w:val="003C6DDE"/>
    <w:rsid w:val="00451F06"/>
    <w:rsid w:val="0069306F"/>
    <w:rsid w:val="006B74BE"/>
    <w:rsid w:val="00795CA3"/>
    <w:rsid w:val="007C1D9B"/>
    <w:rsid w:val="008401BF"/>
    <w:rsid w:val="00886D40"/>
    <w:rsid w:val="008F4C14"/>
    <w:rsid w:val="00987CDD"/>
    <w:rsid w:val="00A741A3"/>
    <w:rsid w:val="00A81222"/>
    <w:rsid w:val="00B6659B"/>
    <w:rsid w:val="00BB7BFD"/>
    <w:rsid w:val="00C461CC"/>
    <w:rsid w:val="00C879A9"/>
    <w:rsid w:val="00CC5420"/>
    <w:rsid w:val="00D3264B"/>
    <w:rsid w:val="00D40EE3"/>
    <w:rsid w:val="00D539C2"/>
    <w:rsid w:val="00E41C27"/>
    <w:rsid w:val="00EB70A6"/>
    <w:rsid w:val="00F5528D"/>
    <w:rsid w:val="00FA1CF8"/>
    <w:rsid w:val="00FB24B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85184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741A3"/>
    <w:rPr>
      <w:rFonts w:ascii="Cambria" w:eastAsia="Cambria" w:hAnsi="Cambria" w:cs="Times New Roman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CC5420"/>
    <w:pPr>
      <w:tabs>
        <w:tab w:val="center" w:pos="4536"/>
        <w:tab w:val="right" w:pos="9072"/>
      </w:tabs>
    </w:pPr>
    <w:rPr>
      <w:rFonts w:asciiTheme="majorHAnsi" w:eastAsiaTheme="minorEastAsia" w:hAnsiTheme="majorHAnsi" w:cstheme="minorBidi"/>
      <w:sz w:val="22"/>
      <w:lang w:eastAsia="ja-JP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CC5420"/>
    <w:rPr>
      <w:rFonts w:asciiTheme="majorHAnsi" w:hAnsiTheme="majorHAnsi"/>
      <w:sz w:val="22"/>
    </w:rPr>
  </w:style>
  <w:style w:type="paragraph" w:styleId="Fuzeile">
    <w:name w:val="footer"/>
    <w:basedOn w:val="Standard"/>
    <w:link w:val="FuzeileZeichen"/>
    <w:uiPriority w:val="99"/>
    <w:unhideWhenUsed/>
    <w:rsid w:val="00CC5420"/>
    <w:pPr>
      <w:tabs>
        <w:tab w:val="center" w:pos="4536"/>
        <w:tab w:val="right" w:pos="9072"/>
      </w:tabs>
    </w:pPr>
    <w:rPr>
      <w:rFonts w:asciiTheme="majorHAnsi" w:eastAsiaTheme="minorEastAsia" w:hAnsiTheme="majorHAnsi" w:cstheme="minorBidi"/>
      <w:sz w:val="22"/>
      <w:lang w:eastAsia="ja-JP"/>
    </w:rPr>
  </w:style>
  <w:style w:type="character" w:customStyle="1" w:styleId="FuzeileZeichen">
    <w:name w:val="Fußzeile Zeichen"/>
    <w:basedOn w:val="Absatzstandardschriftart"/>
    <w:link w:val="Fuzeile"/>
    <w:uiPriority w:val="99"/>
    <w:rsid w:val="00CC5420"/>
    <w:rPr>
      <w:rFonts w:asciiTheme="majorHAnsi" w:hAnsiTheme="majorHAnsi"/>
      <w:sz w:val="22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C2964"/>
    <w:rPr>
      <w:rFonts w:ascii="Lucida Grande" w:eastAsiaTheme="minorEastAsia" w:hAnsi="Lucida Grande" w:cstheme="minorBidi"/>
      <w:sz w:val="18"/>
      <w:szCs w:val="18"/>
      <w:lang w:eastAsia="ja-JP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C296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741A3"/>
    <w:rPr>
      <w:rFonts w:ascii="Cambria" w:eastAsia="Cambria" w:hAnsi="Cambria" w:cs="Times New Roman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CC5420"/>
    <w:pPr>
      <w:tabs>
        <w:tab w:val="center" w:pos="4536"/>
        <w:tab w:val="right" w:pos="9072"/>
      </w:tabs>
    </w:pPr>
    <w:rPr>
      <w:rFonts w:asciiTheme="majorHAnsi" w:eastAsiaTheme="minorEastAsia" w:hAnsiTheme="majorHAnsi" w:cstheme="minorBidi"/>
      <w:sz w:val="22"/>
      <w:lang w:eastAsia="ja-JP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CC5420"/>
    <w:rPr>
      <w:rFonts w:asciiTheme="majorHAnsi" w:hAnsiTheme="majorHAnsi"/>
      <w:sz w:val="22"/>
    </w:rPr>
  </w:style>
  <w:style w:type="paragraph" w:styleId="Fuzeile">
    <w:name w:val="footer"/>
    <w:basedOn w:val="Standard"/>
    <w:link w:val="FuzeileZeichen"/>
    <w:uiPriority w:val="99"/>
    <w:unhideWhenUsed/>
    <w:rsid w:val="00CC5420"/>
    <w:pPr>
      <w:tabs>
        <w:tab w:val="center" w:pos="4536"/>
        <w:tab w:val="right" w:pos="9072"/>
      </w:tabs>
    </w:pPr>
    <w:rPr>
      <w:rFonts w:asciiTheme="majorHAnsi" w:eastAsiaTheme="minorEastAsia" w:hAnsiTheme="majorHAnsi" w:cstheme="minorBidi"/>
      <w:sz w:val="22"/>
      <w:lang w:eastAsia="ja-JP"/>
    </w:rPr>
  </w:style>
  <w:style w:type="character" w:customStyle="1" w:styleId="FuzeileZeichen">
    <w:name w:val="Fußzeile Zeichen"/>
    <w:basedOn w:val="Absatzstandardschriftart"/>
    <w:link w:val="Fuzeile"/>
    <w:uiPriority w:val="99"/>
    <w:rsid w:val="00CC5420"/>
    <w:rPr>
      <w:rFonts w:asciiTheme="majorHAnsi" w:hAnsiTheme="majorHAnsi"/>
      <w:sz w:val="22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C2964"/>
    <w:rPr>
      <w:rFonts w:ascii="Lucida Grande" w:eastAsiaTheme="minorEastAsia" w:hAnsi="Lucida Grande" w:cstheme="minorBidi"/>
      <w:sz w:val="18"/>
      <w:szCs w:val="18"/>
      <w:lang w:eastAsia="ja-JP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C296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</Words>
  <Characters>3342</Characters>
  <Application>Microsoft Macintosh Word</Application>
  <DocSecurity>0</DocSecurity>
  <Lines>27</Lines>
  <Paragraphs>7</Paragraphs>
  <ScaleCrop>false</ScaleCrop>
  <Company/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macbook</cp:lastModifiedBy>
  <cp:revision>4</cp:revision>
  <dcterms:created xsi:type="dcterms:W3CDTF">2017-03-05T09:20:00Z</dcterms:created>
  <dcterms:modified xsi:type="dcterms:W3CDTF">2017-03-05T09:33:00Z</dcterms:modified>
</cp:coreProperties>
</file>